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shd w:val="clear" w:color="auto" w:fill="F9FAFC"/>
        <w:tblCellMar>
          <w:top w:w="225" w:type="dxa"/>
          <w:left w:w="225" w:type="dxa"/>
          <w:bottom w:w="225" w:type="dxa"/>
          <w:right w:w="225" w:type="dxa"/>
        </w:tblCellMar>
        <w:tblLook w:val="04A0" w:firstRow="1" w:lastRow="0" w:firstColumn="1" w:lastColumn="0" w:noHBand="0" w:noVBand="1"/>
      </w:tblPr>
      <w:tblGrid>
        <w:gridCol w:w="3744"/>
        <w:gridCol w:w="1123"/>
        <w:gridCol w:w="4493"/>
      </w:tblGrid>
      <w:tr w:rsidR="00142A7D" w:rsidRPr="00142A7D" w:rsidTr="00142A7D">
        <w:tc>
          <w:tcPr>
            <w:tcW w:w="2000" w:type="pct"/>
            <w:tcBorders>
              <w:top w:val="nil"/>
              <w:left w:val="nil"/>
              <w:bottom w:val="nil"/>
              <w:right w:val="nil"/>
            </w:tcBorders>
            <w:shd w:val="clear" w:color="auto" w:fill="F9FAFC"/>
            <w:tcMar>
              <w:top w:w="0" w:type="dxa"/>
              <w:left w:w="0" w:type="dxa"/>
              <w:bottom w:w="0" w:type="dxa"/>
              <w:right w:w="0" w:type="dxa"/>
            </w:tcMar>
            <w:vAlign w:val="bottom"/>
            <w:hideMark/>
          </w:tcPr>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BỘ GIÁO DỤC VÀ ĐÀO TẠO</w:t>
            </w:r>
            <w:r w:rsidRPr="00142A7D">
              <w:rPr>
                <w:rFonts w:ascii="Arial" w:eastAsia="Times New Roman" w:hAnsi="Arial" w:cs="Arial"/>
                <w:color w:val="444444"/>
                <w:sz w:val="18"/>
                <w:szCs w:val="18"/>
              </w:rPr>
              <w:t> - </w:t>
            </w:r>
            <w:r w:rsidRPr="00142A7D">
              <w:rPr>
                <w:rFonts w:ascii="Arial" w:eastAsia="Times New Roman" w:hAnsi="Arial" w:cs="Arial"/>
                <w:b/>
                <w:bCs/>
                <w:color w:val="444444"/>
                <w:sz w:val="18"/>
                <w:szCs w:val="18"/>
                <w:bdr w:val="none" w:sz="0" w:space="0" w:color="auto" w:frame="1"/>
              </w:rPr>
              <w:t>BỘ NỘI VỤ</w:t>
            </w:r>
          </w:p>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Số: 36/2014/TTLT-BGDĐT-BNV</w:t>
            </w:r>
          </w:p>
        </w:tc>
        <w:tc>
          <w:tcPr>
            <w:tcW w:w="600" w:type="pct"/>
            <w:tcBorders>
              <w:top w:val="nil"/>
              <w:left w:val="nil"/>
              <w:bottom w:val="nil"/>
              <w:right w:val="nil"/>
            </w:tcBorders>
            <w:shd w:val="clear" w:color="auto" w:fill="F9FAFC"/>
            <w:tcMar>
              <w:top w:w="0" w:type="dxa"/>
              <w:left w:w="0" w:type="dxa"/>
              <w:bottom w:w="0" w:type="dxa"/>
              <w:right w:w="0" w:type="dxa"/>
            </w:tcMar>
            <w:vAlign w:val="bottom"/>
            <w:hideMark/>
          </w:tcPr>
          <w:p w:rsidR="00142A7D" w:rsidRPr="00142A7D" w:rsidRDefault="00142A7D" w:rsidP="00142A7D">
            <w:pPr>
              <w:spacing w:line="240" w:lineRule="auto"/>
              <w:jc w:val="left"/>
              <w:rPr>
                <w:rFonts w:ascii="Arial" w:eastAsia="Times New Roman" w:hAnsi="Arial" w:cs="Arial"/>
                <w:color w:val="444444"/>
                <w:sz w:val="18"/>
                <w:szCs w:val="18"/>
              </w:rPr>
            </w:pPr>
          </w:p>
        </w:tc>
        <w:tc>
          <w:tcPr>
            <w:tcW w:w="2400" w:type="pct"/>
            <w:tcBorders>
              <w:top w:val="nil"/>
              <w:left w:val="nil"/>
              <w:bottom w:val="nil"/>
              <w:right w:val="nil"/>
            </w:tcBorders>
            <w:shd w:val="clear" w:color="auto" w:fill="F9FAFC"/>
            <w:tcMar>
              <w:top w:w="0" w:type="dxa"/>
              <w:left w:w="0" w:type="dxa"/>
              <w:bottom w:w="0" w:type="dxa"/>
              <w:right w:w="0" w:type="dxa"/>
            </w:tcMar>
            <w:vAlign w:val="bottom"/>
            <w:hideMark/>
          </w:tcPr>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CỘNG HOÀ XÃ HỘI CHỦ NGHĨA VIỆT NAM</w:t>
            </w:r>
          </w:p>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Độc lập - Tự do - Hạnh phúc</w:t>
            </w:r>
          </w:p>
          <w:p w:rsidR="00142A7D" w:rsidRPr="00142A7D" w:rsidRDefault="00142A7D" w:rsidP="00142A7D">
            <w:pPr>
              <w:spacing w:line="240" w:lineRule="auto"/>
              <w:jc w:val="right"/>
              <w:textAlignment w:val="baseline"/>
              <w:rPr>
                <w:rFonts w:ascii="Arial" w:eastAsia="Times New Roman" w:hAnsi="Arial" w:cs="Arial"/>
                <w:color w:val="444444"/>
                <w:sz w:val="18"/>
                <w:szCs w:val="18"/>
              </w:rPr>
            </w:pPr>
            <w:r w:rsidRPr="00142A7D">
              <w:rPr>
                <w:rFonts w:ascii="Arial" w:eastAsia="Times New Roman" w:hAnsi="Arial" w:cs="Arial"/>
                <w:i/>
                <w:iCs/>
                <w:color w:val="444444"/>
                <w:sz w:val="18"/>
                <w:szCs w:val="18"/>
                <w:bdr w:val="none" w:sz="0" w:space="0" w:color="auto" w:frame="1"/>
              </w:rPr>
              <w:t>Hà Nội, ngày 28 tháng 11 năm 2014</w:t>
            </w:r>
            <w:r w:rsidRPr="00142A7D">
              <w:rPr>
                <w:rFonts w:ascii="Arial" w:eastAsia="Times New Roman" w:hAnsi="Arial" w:cs="Arial"/>
                <w:color w:val="444444"/>
                <w:sz w:val="18"/>
                <w:szCs w:val="18"/>
              </w:rPr>
              <w:t>                          </w:t>
            </w:r>
          </w:p>
        </w:tc>
      </w:tr>
      <w:tr w:rsidR="00142A7D" w:rsidRPr="00142A7D" w:rsidTr="00142A7D">
        <w:tc>
          <w:tcPr>
            <w:tcW w:w="0" w:type="auto"/>
            <w:gridSpan w:val="3"/>
            <w:tcBorders>
              <w:top w:val="nil"/>
              <w:left w:val="nil"/>
              <w:bottom w:val="nil"/>
              <w:right w:val="nil"/>
            </w:tcBorders>
            <w:shd w:val="clear" w:color="auto" w:fill="F9FAFC"/>
            <w:tcMar>
              <w:top w:w="0" w:type="dxa"/>
              <w:left w:w="0" w:type="dxa"/>
              <w:bottom w:w="0" w:type="dxa"/>
              <w:right w:w="0" w:type="dxa"/>
            </w:tcMar>
            <w:vAlign w:val="bottom"/>
            <w:hideMark/>
          </w:tcPr>
          <w:p w:rsidR="00142A7D" w:rsidRPr="00142A7D" w:rsidRDefault="00142A7D" w:rsidP="00142A7D">
            <w:pPr>
              <w:spacing w:line="240" w:lineRule="auto"/>
              <w:jc w:val="left"/>
              <w:rPr>
                <w:rFonts w:ascii="Arial" w:eastAsia="Times New Roman" w:hAnsi="Arial" w:cs="Arial"/>
                <w:color w:val="444444"/>
                <w:sz w:val="18"/>
                <w:szCs w:val="18"/>
              </w:rPr>
            </w:pPr>
          </w:p>
        </w:tc>
      </w:tr>
      <w:tr w:rsidR="00142A7D" w:rsidRPr="00142A7D" w:rsidTr="00142A7D">
        <w:tc>
          <w:tcPr>
            <w:tcW w:w="0" w:type="auto"/>
            <w:gridSpan w:val="3"/>
            <w:tcBorders>
              <w:top w:val="nil"/>
              <w:left w:val="nil"/>
              <w:bottom w:val="nil"/>
              <w:right w:val="nil"/>
            </w:tcBorders>
            <w:shd w:val="clear" w:color="auto" w:fill="F9FAFC"/>
            <w:tcMar>
              <w:top w:w="0" w:type="dxa"/>
              <w:left w:w="0" w:type="dxa"/>
              <w:bottom w:w="0" w:type="dxa"/>
              <w:right w:w="0" w:type="dxa"/>
            </w:tcMar>
            <w:vAlign w:val="bottom"/>
            <w:hideMark/>
          </w:tcPr>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 </w:t>
            </w:r>
          </w:p>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THÔNG TƯ LIÊN TỊCH</w:t>
            </w:r>
          </w:p>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Quy định mã số và tiêu chuẩn chức danh nghề nghiệp viên chức</w:t>
            </w:r>
          </w:p>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giảng dạy trong các cơ sở giáo dục đại học công lập</w:t>
            </w:r>
          </w:p>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____________________</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 </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i/>
                <w:iCs/>
                <w:color w:val="444444"/>
                <w:sz w:val="18"/>
                <w:szCs w:val="18"/>
                <w:bdr w:val="none" w:sz="0" w:space="0" w:color="auto" w:frame="1"/>
              </w:rPr>
              <w:t>Căn cứ Luật Viên chức ngày 15 tháng 11 năm 2010;</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i/>
                <w:iCs/>
                <w:color w:val="444444"/>
                <w:sz w:val="18"/>
                <w:szCs w:val="18"/>
                <w:bdr w:val="none" w:sz="0" w:space="0" w:color="auto" w:frame="1"/>
              </w:rPr>
              <w:t>Căn cứ Nghị định số 29/2012/NĐ-CP ngày 12 tháng 4 năm 2012 của Chính phủ quy định về tuyển dụng, sử dụng và quản lý viên chức;</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i/>
                <w:iCs/>
                <w:color w:val="444444"/>
                <w:sz w:val="18"/>
                <w:szCs w:val="18"/>
                <w:bdr w:val="none" w:sz="0" w:space="0" w:color="auto" w:frame="1"/>
              </w:rPr>
              <w:t>Căn cứ Nghị định số 32/2008/NĐ-CP ngày 19 tháng 3 năm 2008 của Chính phủ quy định chức năng, nhiệm vụ, quyền hạn và cơ cấu tổ chức của Bộ Giáo dục và Đào tạo;</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i/>
                <w:iCs/>
                <w:color w:val="444444"/>
                <w:sz w:val="18"/>
                <w:szCs w:val="18"/>
                <w:bdr w:val="none" w:sz="0" w:space="0" w:color="auto" w:frame="1"/>
              </w:rPr>
              <w:t>Căn cứ Nghị định số 58/2014/NĐ-CP ngày 16 tháng 6 năm 2014 của Chính phủ quy định chức năng, nhiệm vụ, quyền hạn và cơ cấu tổ chức của Bộ Nội vụ;</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i/>
                <w:iCs/>
                <w:color w:val="444444"/>
                <w:sz w:val="18"/>
                <w:szCs w:val="18"/>
                <w:bdr w:val="none" w:sz="0" w:space="0" w:color="auto" w:frame="1"/>
              </w:rPr>
              <w:t>Bộ trưởng Bộ Giáo dục và Đào tạo và Bộ trưởng Bộ Nội vụ ban hành Thông tư liên tịch quy định mã số và tiêu chuẩn chức danh nghề nghiệp viên chức giảng dạy trong các cơ sở giáo dục đại học công lập.</w:t>
            </w:r>
          </w:p>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Chương </w:t>
            </w:r>
            <w:bookmarkStart w:id="0" w:name="Chuong_I"/>
            <w:bookmarkEnd w:id="0"/>
            <w:r w:rsidRPr="00142A7D">
              <w:rPr>
                <w:rFonts w:ascii="Arial" w:eastAsia="Times New Roman" w:hAnsi="Arial" w:cs="Arial"/>
                <w:b/>
                <w:bCs/>
                <w:color w:val="444444"/>
                <w:sz w:val="18"/>
                <w:szCs w:val="18"/>
                <w:bdr w:val="none" w:sz="0" w:space="0" w:color="auto" w:frame="1"/>
              </w:rPr>
              <w:t>I</w:t>
            </w:r>
          </w:p>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NHỮNG QUY ĐỊNH CHUNG</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Điều </w:t>
            </w:r>
            <w:bookmarkStart w:id="1" w:name="Dieu_1"/>
            <w:bookmarkEnd w:id="1"/>
            <w:r w:rsidRPr="00142A7D">
              <w:rPr>
                <w:rFonts w:ascii="Arial" w:eastAsia="Times New Roman" w:hAnsi="Arial" w:cs="Arial"/>
                <w:b/>
                <w:bCs/>
                <w:color w:val="444444"/>
                <w:sz w:val="18"/>
                <w:szCs w:val="18"/>
                <w:bdr w:val="none" w:sz="0" w:space="0" w:color="auto" w:frame="1"/>
              </w:rPr>
              <w:t>1. Phạm vi điều chỉnh và đối tượng áp dụng</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1. Thông tư liên tịch này quy định mã số và tiêu chuẩn chức danh nghề nghiệp viên chức giảng dạy trong các cơ sở giáo dục đại học công lập, bao gồm: Đại học quốc gia, đại học vùng, học viện, trường đại học, trường cao đẳng công lập thuộc hệ thống giáo dục quốc dân.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2. Thông tư liên tịch này áp dụng đối với viên chức làm công tác giảng dạy trong các cơ sở giáo dục đại học công lập và các tổ chức, cá nhân khác có liên quan.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Điều </w:t>
            </w:r>
            <w:bookmarkStart w:id="2" w:name="Dieu_2"/>
            <w:bookmarkEnd w:id="2"/>
            <w:r w:rsidRPr="00142A7D">
              <w:rPr>
                <w:rFonts w:ascii="Arial" w:eastAsia="Times New Roman" w:hAnsi="Arial" w:cs="Arial"/>
                <w:b/>
                <w:bCs/>
                <w:color w:val="444444"/>
                <w:sz w:val="18"/>
                <w:szCs w:val="18"/>
                <w:bdr w:val="none" w:sz="0" w:space="0" w:color="auto" w:frame="1"/>
              </w:rPr>
              <w:t>2. Mã số và phân hạng chức danh nghề nghiệp viên chức giảng dạy trong các cơ sở giáo dục đại học công lập</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Chức danh nghề nghiệp viên chức giảng dạy trong các cơ sở giáo dục đại học công lập bao gồm: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1. Giảng viên cao cấp (hạng I)                 Mã số: V.07.01.01</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2. Giảng viên chính (hạng II)                    Mã số: V.07.01.02</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3. Giảng viên (hạng III)                            Mã số: V.07.01.03</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Điều </w:t>
            </w:r>
            <w:bookmarkStart w:id="3" w:name="Dieu_3"/>
            <w:bookmarkEnd w:id="3"/>
            <w:r w:rsidRPr="00142A7D">
              <w:rPr>
                <w:rFonts w:ascii="Arial" w:eastAsia="Times New Roman" w:hAnsi="Arial" w:cs="Arial"/>
                <w:b/>
                <w:bCs/>
                <w:color w:val="444444"/>
                <w:sz w:val="18"/>
                <w:szCs w:val="18"/>
                <w:bdr w:val="none" w:sz="0" w:space="0" w:color="auto" w:frame="1"/>
              </w:rPr>
              <w:t>3. Tiêu chuẩn về đạo đức nghề nghiệp của viên chức giảng dạy trong các cơ sở giáo dục đại học công lập</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Thực hiện theo Quy định về đạo đức nhà giáo ban hành kèm theo Quyết định số 16/2008/QĐ-BGDĐT ngày 16 tháng 4 năm 2008 của Bộ trưởng Bộ Giáo dục và Đào tạo và các quy định hiện hành của pháp luật.</w:t>
            </w:r>
          </w:p>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Chương </w:t>
            </w:r>
            <w:bookmarkStart w:id="4" w:name="Chuong_II"/>
            <w:bookmarkEnd w:id="4"/>
            <w:r w:rsidRPr="00142A7D">
              <w:rPr>
                <w:rFonts w:ascii="Arial" w:eastAsia="Times New Roman" w:hAnsi="Arial" w:cs="Arial"/>
                <w:b/>
                <w:bCs/>
                <w:color w:val="444444"/>
                <w:sz w:val="18"/>
                <w:szCs w:val="18"/>
                <w:bdr w:val="none" w:sz="0" w:space="0" w:color="auto" w:frame="1"/>
              </w:rPr>
              <w:t>II</w:t>
            </w:r>
          </w:p>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TIÊU CHUẨN CHỨC DANH NGHỀ NGHIỆP</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Điều </w:t>
            </w:r>
            <w:bookmarkStart w:id="5" w:name="Dieu_4"/>
            <w:bookmarkEnd w:id="5"/>
            <w:r w:rsidRPr="00142A7D">
              <w:rPr>
                <w:rFonts w:ascii="Arial" w:eastAsia="Times New Roman" w:hAnsi="Arial" w:cs="Arial"/>
                <w:b/>
                <w:bCs/>
                <w:color w:val="444444"/>
                <w:sz w:val="18"/>
                <w:szCs w:val="18"/>
                <w:bdr w:val="none" w:sz="0" w:space="0" w:color="auto" w:frame="1"/>
              </w:rPr>
              <w:t>4. Giảng viên cao cấp (hạng I) - Mã số: V.07.01.01</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1. Nhiệm vụ:</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a) Giảng dạy trình độ cao đẳng, đại học trở lên; hướng dẫn và chấm đồ án, khóa luận tốt nghiệp cao đẳng, đại học; hướng dẫn luận văn thạc sĩ, luận án tiến sĩ; chủ trì hoặc tham gia các hội đồng đánh giá luận văn thạc sĩ, luận án tiến sĩ;</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b) Chủ trì xây dựng kế hoạch, nội dung, chương trình đào tạo của chuyên ngành; đề xuất phương hướng, biện pháp phát triển của ngành hoặc chuyên ngành;</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c) Chủ trì hoặc tham gia biên soạn giáo trình, sách tham khảo, sách chuyên khảo, sách hướng dẫn, biên dịch sách và giáo trình bằng tiếng nước ngoài sang tiếng Việt (sau đây gọi chung là sách phục vụ đào tạo). Chủ động cập nhật thường xuyên những thành tựu khoa học vào việc xây dựng nội dung, chương trình đào tạo; đổi mới phương pháp giảng dạy và phương pháp kiểm tra đánh giá kết quả học tập, rèn luyện của sinh viên;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d) Chủ trì hoặc tham gia thực hiện chương trình, đề tài nghiên cứu khoa học; định hướng nghiên cứu khoa học cho tổ, nhóm chuyên môn;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đ) Chủ trì hoặc tham gia đánh giá các đề án, đề tài nghiên cứu khoa học; tổ chức và trình bày báo cáo khoa học tại các hội nghị, hội thảo khoa học. Chủ trì hoặc tham gia nghiệm thu và công bố các báo cáo khoa học, các công trình nghiên cứu, trao đổi kinh nghiệm đóng góp vào sự phát triển của bộ môn và chuyên ngành;</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e) Tham gia các hoạt động hợp tác quốc tế và bảo đảm chất lượng giáo dục đại học;</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g) Tổ chức hướng dẫn sinh viên nghiên cứu khoa học; hướng dẫn sinh viên phương pháp học tập, nghiên cứu có hiệu quả; phát hiện năng lực sở trường của sinh viên để tổ chức đào tạo, bồi dưỡng tài năng;</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h) Tổ chức hoạt động tư vấn khoa học, công nghệ, chuyển giao công nghệ phục vụ kinh tế, xã hội, quốc phòng và an ninh;</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i) Học tập bồi dưỡng nâng cao trình độ chuyên môn, nghiệp vụ;</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k) Chủ trì hoặc tham gia bồi dưỡng, phát triển đội ngũ giảng viên theo yêu cầu phát triển chuyên môn, nghiệp vụ của bộ môn hoặc chuyên ngành;</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lastRenderedPageBreak/>
              <w:t>l) Tham gia công tác quản lý, công tác Đảng, đoàn thể và thực hiện các nhiệm vụ khác được phân công.</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2. Tiêu chuẩn về trình độ đào tạo, bồi dưỡng:</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a) Có bằng tiến sĩ phù hợp với vị trí việc làm, chuyên ngành giảng dạy;</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b) Có chứng chỉ bồi dưỡng nghiệp vụ sư phạm cho giảng viên;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c) Có chứng chỉ bồi dưỡng giảng viên cao cấp (hạng I);</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d) Có trình độ ngoại ngữ bậc 4 (B2) theo quy định tại Thông tư số 01/2014/TT-BGDĐT ngày 24 tháng 01 năm 2014 của Bộ Giáo dục và Đào tạo ban hành Khung năng lực ngoại ngữ 6 bậc dùng cho Việt Nam.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Đối với giảng viên dạy ngoại ngữ thì trình độ ngoại ngữ thứ hai phải đạt bậc 4 (B2) theo quy định tại Thông tư số 01/2014/TT-BGDĐT ngày 24 tháng 01 năm 2014 của Bộ Giáo dục và Đào tạo ban hành Khung năng lực ngoại ngữ 6 bậc dùng cho Việt Nam;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đ) Có trình độ tin học đạt chuẩn kỹ năng sử dụng công nghệ thông tin cơ bản theo quy định tại Thông tư số 03/2014/TT-BTTTT ngày 11 tháng 3 năm 2014 của Bộ Thông tin và Truyền thông quy định Chuẩn kỹ năng sử dụng công nghệ thông tin.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3. Tiêu chuẩn về năng lực chuyên môn, nghiệp vụ:</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a) Có kiến thức chuyên sâu về các môn học được phân công giảng dạy và có kiến thức vững vàng của một số môn học có liên quan trong chuyên ngành đào tạo được giao đảm nhiệm;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b) Nắm vững thực tế và xu thế phát triển của công tác đào tạo, nghiên cứu khoa học của chuyên ngành;</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c) Chủ trì thực hiện ít nhất 02 (hai) đề tài nghiên cứu khoa học cấp cơ sở hoặc 01 (một) đề tài nghiên cứu khoa học cấp cao hơn đã nghiệm thu với kết quả từ đạt yêu cầu trở lên;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 xml:space="preserve">d) Hướng dẫn ít nhất 02 (hai) học viên đã bảo vệ thành công luận văn thạc sĩ hoặc hướng dẫn ít nhất 01 (một) nghiên cứu sinh đã bảo vệ thành công luận </w:t>
            </w:r>
            <w:proofErr w:type="gramStart"/>
            <w:r w:rsidRPr="00142A7D">
              <w:rPr>
                <w:rFonts w:ascii="Arial" w:eastAsia="Times New Roman" w:hAnsi="Arial" w:cs="Arial"/>
                <w:color w:val="444444"/>
                <w:sz w:val="18"/>
                <w:szCs w:val="18"/>
              </w:rPr>
              <w:t>án</w:t>
            </w:r>
            <w:proofErr w:type="gramEnd"/>
            <w:r w:rsidRPr="00142A7D">
              <w:rPr>
                <w:rFonts w:ascii="Arial" w:eastAsia="Times New Roman" w:hAnsi="Arial" w:cs="Arial"/>
                <w:color w:val="444444"/>
                <w:sz w:val="18"/>
                <w:szCs w:val="18"/>
              </w:rPr>
              <w:t xml:space="preserve"> tiến sĩ.</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Đối với giảng viên giảng dạy các ngành thuộc nhóm ngành khoa học sức khỏe, hướng dẫn 01 (một) học viên bảo vệ thành công luận văn chuyên khoa cấp II tương đương với hướng dẫn 01 (một) học viên bảo vệ thành công luận văn thạc sĩ.</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 xml:space="preserve">Đối với giảng viên giảng dạy các ngành nghệ thuật có thể thay thế việc hướng dẫn 01 (một) nghiên cứu sinh bằng 01 (một) công trình nghiên </w:t>
            </w:r>
            <w:proofErr w:type="gramStart"/>
            <w:r w:rsidRPr="00142A7D">
              <w:rPr>
                <w:rFonts w:ascii="Arial" w:eastAsia="Times New Roman" w:hAnsi="Arial" w:cs="Arial"/>
                <w:color w:val="444444"/>
                <w:sz w:val="18"/>
                <w:szCs w:val="18"/>
              </w:rPr>
              <w:t>cứu,</w:t>
            </w:r>
            <w:proofErr w:type="gramEnd"/>
            <w:r w:rsidRPr="00142A7D">
              <w:rPr>
                <w:rFonts w:ascii="Arial" w:eastAsia="Times New Roman" w:hAnsi="Arial" w:cs="Arial"/>
                <w:color w:val="444444"/>
                <w:sz w:val="18"/>
                <w:szCs w:val="18"/>
              </w:rPr>
              <w:t xml:space="preserve"> sáng tác được giải thưởng có uy tín trong và ngoài nước.</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Đối với giảng viên không tham gia hướng dẫn luận văn thạc sĩ, luận án tiến sĩ thì số lượng đề tài nghiên cứu khoa học đã được nghiệm thu phải gấp hai lần số lượng đề tài nghiên cứu khoa học quy định tại Điểm c khoản 3 Điều này;</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đ) Chủ trì biên soạn ít nhất 02 (hai) sách phục vụ đào tạo được sử dụng trong giảng dạy, đào tạo;</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e) Có ít nhất 06 (sáu) bài báo khoa học đã được công bố, bao gồm: Bài báo khoa học đã được công bố trên tạp chí khoa học; báo cáo khoa học tại hội nghị, hội thảo khoa học quốc gia, quốc tế được đăng tải trên kỷ yếu hội nghị, hội thảo; kết quả ứng dụng khoa học, công nghệ (sau đây gọi chung là bài báo khoa học);</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g) Viên chức thăng hạng từ chức danh giảng viên chính (hạng II) lên chức danh giảng viên cao cấp (hạng I) phải có thời gian giữ chức danh giảng viên chính (hạng II) hoặc tương đương tối thiểu là 06 (sáu) năm, trong đó thời gian gần nhất giữ chức danh giảng viên chính (hạng II) tối thiểu là 02 (hai) năm.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Điều </w:t>
            </w:r>
            <w:bookmarkStart w:id="6" w:name="Dieu_5"/>
            <w:bookmarkEnd w:id="6"/>
            <w:r w:rsidRPr="00142A7D">
              <w:rPr>
                <w:rFonts w:ascii="Arial" w:eastAsia="Times New Roman" w:hAnsi="Arial" w:cs="Arial"/>
                <w:b/>
                <w:bCs/>
                <w:color w:val="444444"/>
                <w:sz w:val="18"/>
                <w:szCs w:val="18"/>
                <w:bdr w:val="none" w:sz="0" w:space="0" w:color="auto" w:frame="1"/>
              </w:rPr>
              <w:t>5. Giảng viên chính (hạng II) - Mã số: V.07.01.02</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1. Nhiệm vụ:</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a) Giảng dạy, hướng dẫn và chấm đồ án, khóa luận tốt nghiệp trình độ cao đẳng, đại học;</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b) Tham gia giảng dạy chương trình đào tạo trình độ thạc sĩ, tiến sĩ và hướng dẫn, đánh giá luận văn thạc sĩ, luận án tiến sĩ nếu có đủ tiêu chuẩn theo quy định;</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c) Chủ trì hoặc tham gia xây dựng kế hoạch, nội dung, chương trình đào tạo; đề xuất chủ trương, phương hướng và biện pháp phát triển của ngành hoặc chuyên ngành được giao đảm nhiệm;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d) Chủ trì hoặc tham gia biên soạn sách phục vụ đào tạo. Chủ động đề xuất các giải pháp nâng cao chất lượng giảng dạy, phương pháp kiểm tra đánh giá kết quả học tập, rèn luyện của sinh viên;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đ) Chủ trì hoặc tham gia thực hiện chương trình, đề tài nghiên cứu khoa học. Tham gia đánh giá các đề án, đề tài nghiên cứu khoa học; viết và tham gia báo cáo khoa học tại các hội nghị, hội thảo khoa học;</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e) Tham gia các hoạt động hợp tác quốc tế và bảo đảm chất lượng giáo dục đại học;</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g) Tham gia công tác chủ nhiệm lớp, cố vấn học tập; hướng dẫn thảo luận, thực hành, thí nghiệm, thực tập;</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h) Tham gia hoạt động tư vấn khoa học, công nghệ, chuyển giao công nghệ phục vụ kinh tế, xã hội, quốc phòng và an ninh;</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i) Học tập bồi dưỡng nâng cao trình độ chuyên môn, nghiệp vụ;</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k) Tham gia bồi dưỡng giảng viên theo yêu cầu phát triển chuyên môn, nghiệp vụ của bộ môn hoặc chuyên ngành;</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l) Tham gia công tác quản lý, công tác Đảng, đoàn thể và thực hiện các nhiệm vụ khác được phân công.</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2. Tiêu chuẩn về trình độ đào tạo, bồi dưỡng:</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a) Có bằng thạc sĩ trở lên phù hợp với vị trí việc làm, chuyên ngành giảng dạy;</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b) Có chứng chỉ bồi dưỡng nghiệp vụ sư phạm cho giảng viên;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c) Có chứng chỉ bồi dưỡng giảng viên chính (hạng II);</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d) Có trình độ ngoại ngữ bậc 3 (B1) theo quy định tại Thông tư số 01/2014/TT-BGDĐT ngày 24 tháng 01 năm 2014 của Bộ Giáo dục và Đào tạo ban hành Khung năng lực ngoại ngữ 6 bậc dùng cho Việt Nam.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Đối với giảng viên dạy ngoại ngữ thì trình độ ngoại ngữ thứ hai phải đạt bậc 3 (B1) theo quy định tại Thông tư số 01/2014/TT-BGDĐT ngày 24 tháng 01 năm 2014 của Bộ Giáo dục và Đào tạo ban hành Khung năng lực ngoại ngữ 6 bậc dùng cho Việt Nam;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lastRenderedPageBreak/>
              <w:t>đ) Có trình độ tin học đạt chuẩn kỹ năng sử dụng công nghệ thông tin cơ bản theo quy định tại Thông tư số 03/2014/TT-BTTTT ngày 11 tháng 3 năm 2014 của Bộ Thông tin và Truyền thông quy định Chuẩn kỹ năng sử dụng công nghệ thông tin.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3. Tiêu chuẩn về năng lực chuyên môn, nghiệp vụ:</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a) Có kiến thức vững vàng về các môn học được phân công giảng dạy và kiến thức cơ bản của một số môn học có liên quan trong chuyên ngành đào tạo được giao đảm nhiệm;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b) Nắm vững mục tiêu, kế hoạch, nội dung, chương trình các môn học được phân công đảm nhiệm; nắm bắt yêu cầu thực tiễn đối với chuyên ngành đào tạo;</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c) Chủ trì thực hiện ít nhất 01 (một) đề tài nghiên cứu khoa học cấp cơ sở hoặc cấp cao hơn đã nghiệm thu với kết quả từ đạt yêu cầu trở lên;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d) Chủ trì hoặc tham gia biên soạn ít nhất 01 (một) sách phục vụ đào tạo được sử dụng trong giảng dạy, đào tạo;</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đ) Có ít nhất 03 (ba) bài báo khoa học đã được công bố;</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e) Viên chức thăng hạng từ chức danh giảng viên (hạng III) lên chức danh giảng viên chính (hạng II) phải có thời gian giữ chức danh giảng viên (hạng III) hoặc tương đương tối thiểu là 09 (chín) năm đối với người có bằng thạc sĩ, 06 (sáu) năm đối với người có bằng tiến sĩ; trong đó thời gian gần nhất giữ chức danh giảng viên (hạng III) tối thiểu là 02 (hai) năm.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Điều </w:t>
            </w:r>
            <w:bookmarkStart w:id="7" w:name="Dieu_6"/>
            <w:bookmarkEnd w:id="7"/>
            <w:r w:rsidRPr="00142A7D">
              <w:rPr>
                <w:rFonts w:ascii="Arial" w:eastAsia="Times New Roman" w:hAnsi="Arial" w:cs="Arial"/>
                <w:b/>
                <w:bCs/>
                <w:color w:val="444444"/>
                <w:sz w:val="18"/>
                <w:szCs w:val="18"/>
                <w:bdr w:val="none" w:sz="0" w:space="0" w:color="auto" w:frame="1"/>
              </w:rPr>
              <w:t>6. Giảng viên (hạng III) - Mã số: V.07.01.03</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1. Nhiệm vụ:</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a) Giảng dạy, hướng dẫn và chấm đồ án, khóa luận tốt nghiệp trình độ cao đẳng, đại học. Giảng viên trong thời gian làm công tác trợ giảng thực hiện hỗ trợ giảng viên, giảng viên chính, phó giáo sư, giáo sư trong các hoạt động giảng dạy, bao gồm: Chuẩn bị bài giảng, phụ đạo, hướng dẫn bài tập, thảo luận, thí nghiệm, thực hành và chấm bài;</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b) Tham gia giảng dạy chương trình đào tạo trình độ thạc sĩ, tiến sĩ và hướng dẫn, đánh giá luận văn thạc sĩ, luận án tiến sĩ nếu có đủ tiêu chuẩn theo quy định;</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c) Tham gia xây dựng kế hoạch, nội dung, chương trình đào tạo; tham gia đổi mới phương pháp giảng dạy, phương pháp kiểm tra đánh giá kết quả học tập, rèn luyện của sinh viên;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d) Chủ trì hoặc tham gia biên soạn sách phục vụ đào tạo;</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đ) Tổ chức và tham gia các hoạt động nghiên cứu khoa học; viết và tham gia báo cáo khoa học tại các hội nghị, hội thảo khoa học; tham gia triển khai các hoạt động chuyển giao công nghệ cho cơ sở sản xuất;</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e) Tham gia các hoạt động hợp tác quốc tế và bảo đảm chất lượng giáo dục đại học;</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g) Tham gia công tác chủ nhiệm lớp, cố vấn học tập; hướng dẫn thảo luận, thực hành, thí nghiệm và thực tập;</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h) Học tập bồi dưỡng nâng cao trình độ chuyên môn, nghiệp vụ;</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i) Tham gia công tác quản lý, công tác Đảng, đoàn thể và thực hiện các nhiệm vụ khác được phân công.</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2. Tiêu chuẩn về trình độ đào tạo, bồi dưỡng:</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a) Có bằng tốt nghiệp đại học trở lên phù hợp với vị trí việc làm, chuyên ngành giảng dạy;</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b) Có chứng chỉ bồi dưỡng nghiệp vụ sư phạm cho giảng viên;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c) Có trình độ ngoại ngữ bậc 2 (A2) theo quy định tại Thông tư số 01/2014/TT-BGDĐT ngày 24 tháng 01 năm 2014 của Bộ Giáo dục và Đào tạo ban hành Khung năng lực ngoại ngữ 6 bậc dùng cho Việt Nam.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Đối với giảng viên dạy ngoại ngữ thì trình độ ngoại ngữ thứ hai phải đạt bậc 2 (A2) theo quy định tại Thông tư số 01/2014/TT-BGDĐT ngày 24 tháng 01 năm 2014 của Bộ Giáo dục và Đào tạo ban hành Khung năng lực ngoại ngữ 6 bậc dùng cho Việt Nam;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d) Có trình độ tin học đạt chuẩn kỹ năng sử dụng công nghệ thông tin cơ bản theo quy định tại Thông tư số 03/2014/TT-BTTTT ngày 11 tháng 3 năm 2014 của Bộ Thông tin và Truyền thông quy định Chuẩn kỹ năng sử dụng công nghệ thông tin.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3. Tiêu chuẩn về năng lực chuyên môn, nghiệp vụ:</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a) Nắm vững kiến thức cơ bản của môn học được phân công giảng dạy và có kiến thức tổng quát về một số môn học có liên quan trong chuyên ngành đào tạo được giao đảm nhiệm;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b) Nắm vững mục tiêu, kế hoạch, nội dung, chương trình các môn học được phân công thuộc chuyên ngành đào tạo. Xác định được thực tiễn và xu thế phát triển đào tạo, nghiên cứu của chuyên ngành ở trong và ngoài nước;</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c) Biên soạn giáo án, tập hợp các tài liệu tham khảo liên quan của bộ môn, chủ trì hoặc tham gia biên soạn giáo trình, sách hướng dẫn bài tập, thực hành, thí nghiệm;</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d) Có khả năng tham gia nghiên cứu khoa học và tổ chức cho sinh viên nghiên cứu khoa học; ứng dụng, triển khai những kết quả nghiên cứu khoa học, công nghệ vào công tác giáo dục và đào tạo, sản xuất và đời sống;</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đ) Có phương pháp dạy học hiệu quả, phù hợp với nội dung môn học; giảng dạy đạt yêu cầu trở lên.</w:t>
            </w:r>
          </w:p>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Chương </w:t>
            </w:r>
            <w:bookmarkStart w:id="8" w:name="Chuong_III"/>
            <w:bookmarkEnd w:id="8"/>
            <w:r w:rsidRPr="00142A7D">
              <w:rPr>
                <w:rFonts w:ascii="Arial" w:eastAsia="Times New Roman" w:hAnsi="Arial" w:cs="Arial"/>
                <w:b/>
                <w:bCs/>
                <w:color w:val="444444"/>
                <w:sz w:val="18"/>
                <w:szCs w:val="18"/>
                <w:bdr w:val="none" w:sz="0" w:space="0" w:color="auto" w:frame="1"/>
              </w:rPr>
              <w:t>III</w:t>
            </w:r>
          </w:p>
          <w:p w:rsidR="00142A7D" w:rsidRPr="00142A7D" w:rsidRDefault="00142A7D" w:rsidP="00142A7D">
            <w:pPr>
              <w:spacing w:line="240" w:lineRule="auto"/>
              <w:jc w:val="center"/>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ĐIỀU KHOẢN THI HÀNH</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Điều </w:t>
            </w:r>
            <w:bookmarkStart w:id="9" w:name="Dieu_7"/>
            <w:bookmarkEnd w:id="9"/>
            <w:r w:rsidRPr="00142A7D">
              <w:rPr>
                <w:rFonts w:ascii="Arial" w:eastAsia="Times New Roman" w:hAnsi="Arial" w:cs="Arial"/>
                <w:b/>
                <w:bCs/>
                <w:color w:val="444444"/>
                <w:sz w:val="18"/>
                <w:szCs w:val="18"/>
                <w:bdr w:val="none" w:sz="0" w:space="0" w:color="auto" w:frame="1"/>
              </w:rPr>
              <w:t>7. Hiệu lực thi hành</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1. Thông tư liên tịch này có hiệu lực thi hành kể từ ngày 01 tháng 02 năm 2015.</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2. Thông tư liên tịch này thay thế Quyết định số 538/TCCP-TC ngày 18 tháng 12 năm 1995 của Bộ trưởng, Trưởng Ban Tổ chức - Cán bộ Chính phủ về việc thay đổi tên gọi các ngạch công chức giảng dạy và tiêu chuẩn nghiệp vụ các ngạch trong trường đại học, cao đẳng.</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 xml:space="preserve">3. Bãi bỏ tiêu chuẩn nghiệp vụ các ngạch công chức ngành giáo dục và đào tạo giảng dạy ở bậc đại học, cao đẳng quy định tại Quyết định số 202/TCCP-VC ngày 08 tháng 6 năm 1994 của Bộ trưởng, Trưởng ban Tổ chức - Cán bộ </w:t>
            </w:r>
            <w:r w:rsidRPr="00142A7D">
              <w:rPr>
                <w:rFonts w:ascii="Arial" w:eastAsia="Times New Roman" w:hAnsi="Arial" w:cs="Arial"/>
                <w:color w:val="444444"/>
                <w:sz w:val="18"/>
                <w:szCs w:val="18"/>
              </w:rPr>
              <w:lastRenderedPageBreak/>
              <w:t>Chính phủ về việc ban hành tiêu chuẩn nghiệp vụ các ngạch công chức ngành giáo dục và đào tạo.</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4. Bãi bỏ các quy định về danh mục ngạch viên chức giảng dạy trong các cơ sở giáo dục đại học công lập thuộc Danh mục các ngạch công chức và ngạch viên chức ban hành kèm theo Quyết định số 78/2004/QĐ-BNV ngày 03 tháng 11 năm 2004 của Bộ trưởng Bộ Nội vụ.</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Điều </w:t>
            </w:r>
            <w:bookmarkStart w:id="10" w:name="Dieu_8"/>
            <w:bookmarkEnd w:id="10"/>
            <w:r w:rsidRPr="00142A7D">
              <w:rPr>
                <w:rFonts w:ascii="Arial" w:eastAsia="Times New Roman" w:hAnsi="Arial" w:cs="Arial"/>
                <w:b/>
                <w:bCs/>
                <w:color w:val="444444"/>
                <w:sz w:val="18"/>
                <w:szCs w:val="18"/>
                <w:bdr w:val="none" w:sz="0" w:space="0" w:color="auto" w:frame="1"/>
              </w:rPr>
              <w:t>8. Tổ chức thực hiện</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1. Thông tư liên tịch này là căn cứ để thực hiện việc tuyển dụng, sử dụng và quản lý viên chức giảng dạy trong các cơ sở giáo dục đại học công lập.</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2. Các cơ sở giáo dục đại học ngoài công lập có thể vận dụng quy định tại Thông tư liên tịch này để tuyển dụng, sử dụng và quản lý đội ngũ giảng viên tại cơ sở.</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b/>
                <w:bCs/>
                <w:color w:val="444444"/>
                <w:sz w:val="18"/>
                <w:szCs w:val="18"/>
                <w:bdr w:val="none" w:sz="0" w:space="0" w:color="auto" w:frame="1"/>
              </w:rPr>
              <w:t>Điều </w:t>
            </w:r>
            <w:bookmarkStart w:id="11" w:name="Dieu_9"/>
            <w:bookmarkEnd w:id="11"/>
            <w:r w:rsidRPr="00142A7D">
              <w:rPr>
                <w:rFonts w:ascii="Arial" w:eastAsia="Times New Roman" w:hAnsi="Arial" w:cs="Arial"/>
                <w:b/>
                <w:bCs/>
                <w:color w:val="444444"/>
                <w:sz w:val="18"/>
                <w:szCs w:val="18"/>
                <w:bdr w:val="none" w:sz="0" w:space="0" w:color="auto" w:frame="1"/>
              </w:rPr>
              <w:t>9. Trách nhiệm thi hành</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1. Bộ trưởng, Thủ trưởng cơ quan ngang Bộ, Thủ trưởng cơ quan thuộc Chính phủ; Chủ tịch Ủy ban nhân dân tỉnh, thành phố trực thuộc Trung ương có trách nhiệm thực hiện Thông tư liên tịch này.</w:t>
            </w:r>
          </w:p>
          <w:p w:rsidR="00142A7D" w:rsidRPr="00142A7D" w:rsidRDefault="00142A7D" w:rsidP="00142A7D">
            <w:pPr>
              <w:spacing w:line="240" w:lineRule="auto"/>
              <w:jc w:val="left"/>
              <w:textAlignment w:val="baseline"/>
              <w:rPr>
                <w:rFonts w:ascii="Arial" w:eastAsia="Times New Roman" w:hAnsi="Arial" w:cs="Arial"/>
                <w:color w:val="444444"/>
                <w:sz w:val="18"/>
                <w:szCs w:val="18"/>
              </w:rPr>
            </w:pPr>
            <w:r w:rsidRPr="00142A7D">
              <w:rPr>
                <w:rFonts w:ascii="Arial" w:eastAsia="Times New Roman" w:hAnsi="Arial" w:cs="Arial"/>
                <w:color w:val="444444"/>
                <w:sz w:val="18"/>
                <w:szCs w:val="18"/>
              </w:rPr>
              <w:t>2. Trong quá trình thực hiện nếu có vướng mắc, đề nghị phản ánh về Bộ Giáo dục và Đào tạo để tổng hợp và chủ trì, phối hợp với Bộ Nội vụ xem xét, giải quyết./.</w:t>
            </w:r>
          </w:p>
        </w:tc>
      </w:tr>
    </w:tbl>
    <w:p w:rsidR="00EB385F" w:rsidRDefault="00EB385F">
      <w:bookmarkStart w:id="12" w:name="_GoBack"/>
      <w:bookmarkEnd w:id="12"/>
    </w:p>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A7D"/>
    <w:rsid w:val="00142A7D"/>
    <w:rsid w:val="001C0943"/>
    <w:rsid w:val="001F7F22"/>
    <w:rsid w:val="00AC1D9C"/>
    <w:rsid w:val="00C0320F"/>
    <w:rsid w:val="00C1717E"/>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142A7D"/>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142A7D"/>
    <w:rPr>
      <w:b/>
      <w:bCs/>
    </w:rPr>
  </w:style>
  <w:style w:type="character" w:styleId="Emphasis">
    <w:name w:val="Emphasis"/>
    <w:basedOn w:val="DefaultParagraphFont"/>
    <w:uiPriority w:val="20"/>
    <w:qFormat/>
    <w:rsid w:val="00142A7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142A7D"/>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142A7D"/>
    <w:rPr>
      <w:b/>
      <w:bCs/>
    </w:rPr>
  </w:style>
  <w:style w:type="character" w:styleId="Emphasis">
    <w:name w:val="Emphasis"/>
    <w:basedOn w:val="DefaultParagraphFont"/>
    <w:uiPriority w:val="20"/>
    <w:qFormat/>
    <w:rsid w:val="00142A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7778098">
      <w:bodyDiv w:val="1"/>
      <w:marLeft w:val="0"/>
      <w:marRight w:val="0"/>
      <w:marTop w:val="0"/>
      <w:marBottom w:val="0"/>
      <w:divBdr>
        <w:top w:val="none" w:sz="0" w:space="0" w:color="auto"/>
        <w:left w:val="none" w:sz="0" w:space="0" w:color="auto"/>
        <w:bottom w:val="none" w:sz="0" w:space="0" w:color="auto"/>
        <w:right w:val="none" w:sz="0" w:space="0" w:color="auto"/>
      </w:divBdr>
      <w:divsChild>
        <w:div w:id="662045508">
          <w:marLeft w:val="0"/>
          <w:marRight w:val="0"/>
          <w:marTop w:val="0"/>
          <w:marBottom w:val="0"/>
          <w:divBdr>
            <w:top w:val="none" w:sz="0" w:space="0" w:color="auto"/>
            <w:left w:val="none" w:sz="0" w:space="0" w:color="auto"/>
            <w:bottom w:val="none" w:sz="0" w:space="0" w:color="auto"/>
            <w:right w:val="none" w:sz="0" w:space="0" w:color="auto"/>
          </w:divBdr>
        </w:div>
        <w:div w:id="1642730009">
          <w:marLeft w:val="0"/>
          <w:marRight w:val="0"/>
          <w:marTop w:val="0"/>
          <w:marBottom w:val="0"/>
          <w:divBdr>
            <w:top w:val="none" w:sz="0" w:space="0" w:color="auto"/>
            <w:left w:val="none" w:sz="0" w:space="0" w:color="auto"/>
            <w:bottom w:val="none" w:sz="0" w:space="0" w:color="auto"/>
            <w:right w:val="none" w:sz="0" w:space="0" w:color="auto"/>
          </w:divBdr>
        </w:div>
        <w:div w:id="1345592815">
          <w:marLeft w:val="0"/>
          <w:marRight w:val="0"/>
          <w:marTop w:val="0"/>
          <w:marBottom w:val="0"/>
          <w:divBdr>
            <w:top w:val="none" w:sz="0" w:space="0" w:color="auto"/>
            <w:left w:val="none" w:sz="0" w:space="0" w:color="auto"/>
            <w:bottom w:val="none" w:sz="0" w:space="0" w:color="auto"/>
            <w:right w:val="none" w:sz="0" w:space="0" w:color="auto"/>
          </w:divBdr>
        </w:div>
        <w:div w:id="18588894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2313</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2018-07-30T00:17:00Z</dcterms:created>
  <dcterms:modified xsi:type="dcterms:W3CDTF">2018-07-30T00:17:00Z</dcterms:modified>
</cp:coreProperties>
</file>